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426" w:rsidRDefault="002A2426">
      <w:pPr>
        <w:rPr>
          <w:rFonts w:ascii="Garamond" w:hAnsi="Garamond" w:cs="Garamond"/>
        </w:rPr>
      </w:pPr>
      <w:r>
        <w:rPr>
          <w:rFonts w:ascii="Garamond" w:hAnsi="Garamond" w:cs="Garamond"/>
        </w:rPr>
        <w:t>Media Contact:</w:t>
      </w:r>
    </w:p>
    <w:p w:rsidR="002A2426" w:rsidRDefault="002A2426">
      <w:pPr>
        <w:rPr>
          <w:rFonts w:ascii="Garamond" w:hAnsi="Garamond" w:cs="Garamond"/>
        </w:rPr>
      </w:pPr>
      <w:bookmarkStart w:id="0" w:name="_DV_M1"/>
      <w:bookmarkEnd w:id="0"/>
      <w:r>
        <w:rPr>
          <w:rFonts w:ascii="Garamond" w:hAnsi="Garamond" w:cs="Garamond"/>
        </w:rPr>
        <w:t>Amanda Remus</w:t>
      </w:r>
    </w:p>
    <w:p w:rsidR="002A2426" w:rsidRDefault="002A2426">
      <w:pPr>
        <w:rPr>
          <w:rFonts w:ascii="Garamond" w:hAnsi="Garamond" w:cs="Garamond"/>
        </w:rPr>
      </w:pPr>
      <w:bookmarkStart w:id="1" w:name="_DV_M2"/>
      <w:bookmarkEnd w:id="1"/>
      <w:r>
        <w:rPr>
          <w:rFonts w:ascii="Garamond" w:hAnsi="Garamond" w:cs="Garamond"/>
        </w:rPr>
        <w:t>212-847-2826</w:t>
      </w:r>
    </w:p>
    <w:p w:rsidR="002A2426" w:rsidRDefault="002A2426">
      <w:pPr>
        <w:rPr>
          <w:rFonts w:ascii="Garamond" w:hAnsi="Garamond" w:cs="TimesNewRomanPSMT"/>
        </w:rPr>
      </w:pPr>
      <w:bookmarkStart w:id="2" w:name="_DV_M3"/>
      <w:bookmarkEnd w:id="2"/>
    </w:p>
    <w:p w:rsidR="002A2426" w:rsidRDefault="002A2426">
      <w:pPr>
        <w:rPr>
          <w:rFonts w:ascii="Garamond" w:hAnsi="Garamond" w:cs="TimesNewRomanPSMT"/>
        </w:rPr>
      </w:pPr>
      <w:r>
        <w:rPr>
          <w:rFonts w:ascii="Garamond" w:hAnsi="Garamond" w:cs="TimesNewRomanPSMT"/>
        </w:rPr>
        <w:t>Statement from the Office of Irving H. Picard,</w:t>
      </w:r>
    </w:p>
    <w:p w:rsidR="002A2426" w:rsidRDefault="002A2426">
      <w:pPr>
        <w:rPr>
          <w:rFonts w:ascii="Garamond" w:hAnsi="Garamond"/>
          <w:bCs/>
        </w:rPr>
      </w:pPr>
      <w:r>
        <w:rPr>
          <w:rFonts w:ascii="Garamond" w:hAnsi="Garamond"/>
          <w:bCs/>
        </w:rPr>
        <w:t>SIPA Trustee for the Liquidation of Bernard L. Madoff Investment</w:t>
      </w:r>
      <w:r>
        <w:rPr>
          <w:rFonts w:ascii="Garamond" w:hAnsi="Garamond" w:cs="TimesNewRomanPSMT"/>
        </w:rPr>
        <w:t xml:space="preserve"> </w:t>
      </w:r>
      <w:r>
        <w:rPr>
          <w:rFonts w:ascii="Garamond" w:hAnsi="Garamond"/>
          <w:bCs/>
        </w:rPr>
        <w:t>Securities (“BLMIS”)</w:t>
      </w:r>
    </w:p>
    <w:p w:rsidR="002A2426" w:rsidRDefault="002A2426">
      <w:pPr>
        <w:rPr>
          <w:rFonts w:ascii="Garamond" w:hAnsi="Garamond"/>
          <w:bCs/>
        </w:rPr>
      </w:pPr>
    </w:p>
    <w:p w:rsidR="002A2426" w:rsidRDefault="002A2426">
      <w:pPr>
        <w:rPr>
          <w:rFonts w:ascii="Garamond" w:hAnsi="Garamond"/>
          <w:bCs/>
        </w:rPr>
      </w:pPr>
    </w:p>
    <w:p w:rsidR="002A2426" w:rsidRDefault="002A2426">
      <w:pPr>
        <w:jc w:val="center"/>
        <w:rPr>
          <w:rFonts w:ascii="Garamond" w:hAnsi="Garamond"/>
          <w:b/>
          <w:bCs/>
        </w:rPr>
      </w:pPr>
      <w:r>
        <w:rPr>
          <w:rFonts w:ascii="Garamond" w:hAnsi="Garamond"/>
          <w:b/>
          <w:bCs/>
        </w:rPr>
        <w:t xml:space="preserve">MADOFF TRUSTEE FILES PROPOSED AMENDED COMPLAINT </w:t>
      </w:r>
    </w:p>
    <w:p w:rsidR="002A2426" w:rsidRDefault="002A2426">
      <w:pPr>
        <w:jc w:val="center"/>
        <w:rPr>
          <w:rFonts w:ascii="Garamond" w:hAnsi="Garamond"/>
          <w:b/>
          <w:bCs/>
        </w:rPr>
      </w:pPr>
      <w:r>
        <w:rPr>
          <w:rFonts w:ascii="Garamond" w:hAnsi="Garamond"/>
          <w:b/>
          <w:bCs/>
        </w:rPr>
        <w:t>AGAINST UNICREDIT, BANK AUSTRIA, AND SONJA KOHN</w:t>
      </w:r>
    </w:p>
    <w:p w:rsidR="002A2426" w:rsidRDefault="002A2426">
      <w:pPr>
        <w:autoSpaceDE w:val="0"/>
        <w:autoSpaceDN w:val="0"/>
        <w:jc w:val="center"/>
        <w:rPr>
          <w:rFonts w:ascii="Garamond" w:hAnsi="Garamond"/>
          <w:b/>
          <w:bCs/>
        </w:rPr>
      </w:pPr>
    </w:p>
    <w:p w:rsidR="002A2426" w:rsidRDefault="002A2426">
      <w:pPr>
        <w:autoSpaceDE w:val="0"/>
        <w:autoSpaceDN w:val="0"/>
        <w:rPr>
          <w:rFonts w:ascii="Garamond" w:hAnsi="Garamond"/>
          <w:b/>
          <w:bCs/>
        </w:rPr>
      </w:pPr>
    </w:p>
    <w:p w:rsidR="002A2426" w:rsidRDefault="002A2426">
      <w:pPr>
        <w:autoSpaceDE w:val="0"/>
        <w:autoSpaceDN w:val="0"/>
        <w:rPr>
          <w:rFonts w:ascii="Garamond" w:hAnsi="Garamond"/>
          <w:color w:val="000000"/>
        </w:rPr>
      </w:pPr>
      <w:r>
        <w:rPr>
          <w:rFonts w:ascii="Garamond" w:hAnsi="Garamond"/>
          <w:b/>
          <w:bCs/>
        </w:rPr>
        <w:t xml:space="preserve">NEW YORK, NEW YORK – August 29, 2011 </w:t>
      </w:r>
      <w:r>
        <w:rPr>
          <w:rFonts w:ascii="Garamond" w:hAnsi="Garamond"/>
        </w:rPr>
        <w:t xml:space="preserve">– As a result of the ongoing investigation of the Medici Enterprise, Irving H. Picard, the SIPA Trustee for the liquidation of BLMIS today filed its opposition to certain Medici Enterprise defendants’ motions to dismiss in the United States District Court for the Southern District of New York.  The Trustee’s filing includes a proposed amended complaint against Sonja Kohn and other members of the Medici Enterprise, including </w:t>
      </w:r>
      <w:r>
        <w:rPr>
          <w:rFonts w:ascii="Garamond" w:hAnsi="Garamond"/>
          <w:color w:val="000000"/>
        </w:rPr>
        <w:t xml:space="preserve">UniCredit S.p.A. (“UniCredit”), Pioneer Global Asset Management S.p.A. (“Pioneer”), UniCredit Bank Austria A.G. (“Bank Austria”), and Alessandro Profumo (“Profumo”) (together, the “UniCredit/Bank Austria Defendants”).  </w:t>
      </w:r>
    </w:p>
    <w:p w:rsidR="002A2426" w:rsidRDefault="002A2426">
      <w:pPr>
        <w:autoSpaceDE w:val="0"/>
        <w:autoSpaceDN w:val="0"/>
        <w:rPr>
          <w:rFonts w:ascii="Garamond" w:hAnsi="Garamond"/>
          <w:color w:val="000000"/>
        </w:rPr>
      </w:pPr>
    </w:p>
    <w:p w:rsidR="002A2426" w:rsidRDefault="002A2426">
      <w:pPr>
        <w:autoSpaceDE w:val="0"/>
        <w:autoSpaceDN w:val="0"/>
        <w:rPr>
          <w:rFonts w:ascii="Garamond" w:hAnsi="Garamond"/>
          <w:color w:val="000000"/>
        </w:rPr>
      </w:pPr>
      <w:r>
        <w:rPr>
          <w:rFonts w:ascii="Garamond" w:hAnsi="Garamond" w:cs="Calibri"/>
        </w:rPr>
        <w:t xml:space="preserve">The opposition brief provides an in-depth overview of the Trustee’s standing under the law to pursue recoveries and RICO-related damages for the estate of BLMIS.  </w:t>
      </w:r>
      <w:r>
        <w:rPr>
          <w:rFonts w:ascii="Garamond" w:hAnsi="Garamond"/>
          <w:color w:val="000000"/>
        </w:rPr>
        <w:t>The Trustee’s ongoing investigation, which has not yet included formal discovery, has identified thousands of additional RICO predicate acts committed (and bankruptcy transfers received by) the UniCredit/Bank Austria Defendants and their co-conspirators.  The Trustee’s proposed amended complaint would add 23 additional defendants who participated in and benefited from a transnational scheme of criminal racketeering (the “Illegal Scheme”).  The additional defendants include Kohn family members as well as executives from the banks and several other related entities that are alleged to have participated in the RICO predicate acts – including money laundering, transactions in criminally derived property, transportation of funds taken by fraud, receipt of stolen funds, financial institution fraud, and wire fraud – that deepened the BLMIS estate’s insolvency.  “Congress enacted the RICO statute to eradicate organized crime from the social fabric and hold criminals, including rogue financial institutions, responsible for the damage that they have wrought,” said Timothy S. Pfeifer, counsel at Baker &amp; Hostetler, LLP.</w:t>
      </w:r>
    </w:p>
    <w:p w:rsidR="002A2426" w:rsidRDefault="002A2426">
      <w:pPr>
        <w:autoSpaceDE w:val="0"/>
        <w:autoSpaceDN w:val="0"/>
        <w:rPr>
          <w:rFonts w:ascii="Garamond" w:hAnsi="Garamond"/>
          <w:color w:val="000000"/>
        </w:rPr>
      </w:pPr>
    </w:p>
    <w:p w:rsidR="002A2426" w:rsidRDefault="002A2426">
      <w:pPr>
        <w:widowControl w:val="0"/>
        <w:autoSpaceDE w:val="0"/>
        <w:autoSpaceDN w:val="0"/>
        <w:adjustRightInd w:val="0"/>
        <w:rPr>
          <w:rFonts w:ascii="Garamond" w:hAnsi="Garamond"/>
          <w:color w:val="000000"/>
        </w:rPr>
      </w:pPr>
      <w:r>
        <w:rPr>
          <w:rFonts w:ascii="Garamond" w:hAnsi="Garamond"/>
          <w:color w:val="000000"/>
        </w:rPr>
        <w:t>Specifically, the amended complaint contains newly discovered information regarding the wrongdoing of the UniCredit/Bank Austria Defendants.  The Trustee has discovered scores of surreptitious transfers executed by the UniCredit/Bank Austria Defendants for their benefit and in furtherance of their Illegal S</w:t>
      </w:r>
      <w:bookmarkStart w:id="3" w:name="_GoBack"/>
      <w:bookmarkEnd w:id="3"/>
      <w:r>
        <w:rPr>
          <w:rFonts w:ascii="Garamond" w:hAnsi="Garamond"/>
          <w:color w:val="000000"/>
        </w:rPr>
        <w:t>cheme.  The amended complaint also contains additional evidence that illuminates the nature, and full extent, of the criminal conspiracies among the UniCredit/Bank Austria Defendants and their co-defendants.</w:t>
      </w:r>
    </w:p>
    <w:p w:rsidR="002A2426" w:rsidRDefault="002A24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color w:val="000000"/>
        </w:rPr>
      </w:pPr>
      <w:r>
        <w:rPr>
          <w:rFonts w:ascii="Garamond" w:hAnsi="Garamond"/>
          <w:color w:val="000000"/>
        </w:rPr>
        <w:t xml:space="preserve"> </w:t>
      </w:r>
    </w:p>
    <w:p w:rsidR="002A2426" w:rsidRDefault="002A2426">
      <w:pPr>
        <w:autoSpaceDE w:val="0"/>
        <w:autoSpaceDN w:val="0"/>
        <w:rPr>
          <w:rFonts w:ascii="Garamond" w:hAnsi="Garamond" w:cs="Garamond"/>
          <w:color w:val="000000"/>
        </w:rPr>
      </w:pPr>
      <w:r>
        <w:rPr>
          <w:rFonts w:ascii="Garamond" w:hAnsi="Garamond"/>
        </w:rPr>
        <w:t>The new factual allegations provide additional support for the Trustee’s contention that the UniCredit/Bank Austria Defendants are liable for</w:t>
      </w:r>
      <w:r>
        <w:rPr>
          <w:rFonts w:ascii="Garamond" w:hAnsi="Garamond" w:cs="Garamond"/>
          <w:color w:val="000000"/>
        </w:rPr>
        <w:t xml:space="preserve"> $19.6 billion in damages to the estate of BLMIS as a result the Medici Enterprise’s 23-year money laundering scheme and its indispensible role in prolonging Madoff’s Ponzi scheme.  </w:t>
      </w:r>
    </w:p>
    <w:p w:rsidR="002A2426" w:rsidRDefault="002A2426">
      <w:pPr>
        <w:autoSpaceDE w:val="0"/>
        <w:autoSpaceDN w:val="0"/>
        <w:rPr>
          <w:rFonts w:ascii="Garamond" w:hAnsi="Garamond" w:cs="Garamond"/>
          <w:color w:val="000000"/>
        </w:rPr>
      </w:pPr>
    </w:p>
    <w:p w:rsidR="002A2426" w:rsidRDefault="002A2426">
      <w:pPr>
        <w:widowControl w:val="0"/>
        <w:autoSpaceDE w:val="0"/>
        <w:autoSpaceDN w:val="0"/>
        <w:adjustRightInd w:val="0"/>
        <w:rPr>
          <w:rFonts w:ascii="Garamond" w:hAnsi="Garamond" w:cs="Calibri"/>
        </w:rPr>
      </w:pPr>
      <w:r>
        <w:rPr>
          <w:rFonts w:ascii="Garamond" w:hAnsi="Garamond" w:cs="Garamond"/>
          <w:color w:val="000000"/>
        </w:rPr>
        <w:t xml:space="preserve">The original complaint – filed December 11, 2010 – alleges that more than 8,000 predicate acts, by Kohn and her co-conspirators, violated RICO and established a pattern of racketeering activity comprised of, among other things, money laundering, mail and wire fraud, and financial institution fraud.  </w:t>
      </w:r>
    </w:p>
    <w:p w:rsidR="002A2426" w:rsidRDefault="002A2426">
      <w:pPr>
        <w:widowControl w:val="0"/>
        <w:autoSpaceDE w:val="0"/>
        <w:autoSpaceDN w:val="0"/>
        <w:adjustRightInd w:val="0"/>
        <w:rPr>
          <w:rFonts w:ascii="Garamond" w:hAnsi="Garamond" w:cs="Calibri"/>
        </w:rPr>
      </w:pPr>
    </w:p>
    <w:p w:rsidR="002A2426" w:rsidRDefault="002A2426">
      <w:pPr>
        <w:autoSpaceDE w:val="0"/>
        <w:autoSpaceDN w:val="0"/>
        <w:rPr>
          <w:rFonts w:ascii="Garamond" w:hAnsi="Garamond"/>
        </w:rPr>
      </w:pPr>
      <w:r>
        <w:rPr>
          <w:rFonts w:ascii="Garamond" w:hAnsi="Garamond" w:cs="Garamond"/>
          <w:color w:val="000000"/>
        </w:rPr>
        <w:t>All recovered assets will be placed in the Trustee’s Customer Fund and distributed, pro rata, to BLMIS customers with approved claims.</w:t>
      </w:r>
    </w:p>
    <w:p w:rsidR="002A2426" w:rsidRDefault="002A2426">
      <w:pPr>
        <w:autoSpaceDE w:val="0"/>
        <w:autoSpaceDN w:val="0"/>
        <w:rPr>
          <w:rFonts w:ascii="Garamond" w:hAnsi="Garamond"/>
        </w:rPr>
      </w:pPr>
    </w:p>
    <w:p w:rsidR="002A2426" w:rsidRDefault="002A2426">
      <w:pPr>
        <w:autoSpaceDE w:val="0"/>
        <w:autoSpaceDN w:val="0"/>
        <w:rPr>
          <w:rFonts w:ascii="Garamond" w:hAnsi="Garamond"/>
        </w:rPr>
      </w:pPr>
      <w:r>
        <w:rPr>
          <w:rFonts w:ascii="Garamond" w:hAnsi="Garamond"/>
          <w:color w:val="000000"/>
        </w:rPr>
        <w:t>To date, the Trustee’s investigation has included the review of millions of pages of documents and sworn testimony from many witnesses.  It is through this ongoing investigation that the additional factual allegations have been developed.</w:t>
      </w:r>
    </w:p>
    <w:p w:rsidR="002A2426" w:rsidRDefault="002A2426">
      <w:pPr>
        <w:autoSpaceDE w:val="0"/>
        <w:autoSpaceDN w:val="0"/>
        <w:rPr>
          <w:rFonts w:ascii="Garamond" w:hAnsi="Garamond"/>
        </w:rPr>
      </w:pPr>
    </w:p>
    <w:p w:rsidR="002A2426" w:rsidRDefault="002A2426">
      <w:pPr>
        <w:autoSpaceDE w:val="0"/>
        <w:autoSpaceDN w:val="0"/>
        <w:rPr>
          <w:rFonts w:ascii="Garamond" w:hAnsi="Garamond" w:cs="Garamond"/>
        </w:rPr>
      </w:pPr>
      <w:r>
        <w:rPr>
          <w:rFonts w:ascii="Garamond" w:hAnsi="Garamond" w:cs="Garamond"/>
        </w:rPr>
        <w:t>The proposed amended complaint was submitted simultaneously with the opposition papers at the request of the District Court, to maintain the Court’s schedule in this matter.</w:t>
      </w:r>
    </w:p>
    <w:p w:rsidR="002A2426" w:rsidRDefault="002A2426">
      <w:pPr>
        <w:autoSpaceDE w:val="0"/>
        <w:autoSpaceDN w:val="0"/>
        <w:rPr>
          <w:rFonts w:ascii="Garamond" w:hAnsi="Garamond" w:cs="Garamond"/>
        </w:rPr>
      </w:pPr>
    </w:p>
    <w:p w:rsidR="002A2426" w:rsidRDefault="002A2426">
      <w:pPr>
        <w:autoSpaceDE w:val="0"/>
        <w:autoSpaceDN w:val="0"/>
        <w:rPr>
          <w:rFonts w:ascii="Garamond" w:hAnsi="Garamond" w:cs="Garamond"/>
        </w:rPr>
      </w:pPr>
      <w:r>
        <w:rPr>
          <w:rFonts w:ascii="Garamond" w:hAnsi="Garamond" w:cs="Garamond"/>
        </w:rPr>
        <w:t>The Baker &amp; Hostetler LLP attorneys involved with the filing of the opposition motion and the second amended complaint include: David J. Sheehan, Timothy S. Pfeifer, Denise D. Vasel, Marco Molina, Matthew D. Feil, A. Mackenna Mosier, and Emilie J. Walgenbach.</w:t>
      </w:r>
    </w:p>
    <w:p w:rsidR="002A2426" w:rsidRDefault="002A2426">
      <w:pPr>
        <w:autoSpaceDE w:val="0"/>
        <w:autoSpaceDN w:val="0"/>
        <w:rPr>
          <w:rFonts w:ascii="Garamond" w:hAnsi="Garamond"/>
        </w:rPr>
      </w:pPr>
    </w:p>
    <w:p w:rsidR="002A2426" w:rsidRDefault="002A2426">
      <w:pPr>
        <w:autoSpaceDE w:val="0"/>
        <w:autoSpaceDN w:val="0"/>
        <w:rPr>
          <w:rFonts w:ascii="Garamond" w:hAnsi="Garamond" w:cs="Garamond"/>
          <w:color w:val="000000"/>
        </w:rPr>
      </w:pPr>
      <w:r>
        <w:rPr>
          <w:rFonts w:ascii="Garamond" w:hAnsi="Garamond" w:cs="Garamond"/>
          <w:color w:val="000000"/>
        </w:rPr>
        <w:t xml:space="preserve">A copy of the motion and related complaint is available on the Trustee's website at www.madofftrustee.com or on the District Court’s website at </w:t>
      </w:r>
      <w:hyperlink r:id="rId7" w:history="1">
        <w:r>
          <w:rPr>
            <w:rStyle w:val="Hyperlink"/>
            <w:rFonts w:ascii="Garamond" w:hAnsi="Garamond" w:cs="Garamond"/>
          </w:rPr>
          <w:t>www.nysb.uscourts.gov</w:t>
        </w:r>
      </w:hyperlink>
      <w:r>
        <w:rPr>
          <w:rFonts w:ascii="Garamond" w:hAnsi="Garamond" w:cs="Garamond"/>
          <w:color w:val="000000"/>
        </w:rPr>
        <w:t>; Case No.</w:t>
      </w:r>
      <w:r>
        <w:rPr>
          <w:rFonts w:ascii="Garamond" w:hAnsi="Garamond"/>
          <w:color w:val="000000"/>
        </w:rPr>
        <w:t xml:space="preserve"> 11-cv-01181 (JSR)</w:t>
      </w:r>
      <w:r>
        <w:rPr>
          <w:rFonts w:ascii="Garamond" w:hAnsi="Garamond" w:cs="Garamond"/>
          <w:color w:val="000000"/>
        </w:rPr>
        <w:t>.</w:t>
      </w:r>
    </w:p>
    <w:p w:rsidR="002A2426" w:rsidRDefault="002A2426">
      <w:pPr>
        <w:autoSpaceDE w:val="0"/>
        <w:autoSpaceDN w:val="0"/>
        <w:rPr>
          <w:rFonts w:ascii="Garamond" w:hAnsi="Garamond" w:cs="Garamond"/>
          <w:color w:val="000000"/>
        </w:rPr>
      </w:pPr>
    </w:p>
    <w:p w:rsidR="002A2426" w:rsidRDefault="002A2426">
      <w:pPr>
        <w:autoSpaceDE w:val="0"/>
        <w:autoSpaceDN w:val="0"/>
        <w:rPr>
          <w:rFonts w:ascii="Garamond" w:hAnsi="Garamond" w:cs="Garamond"/>
          <w:color w:val="000000"/>
        </w:rPr>
      </w:pPr>
    </w:p>
    <w:p w:rsidR="002A2426" w:rsidRDefault="002A2426">
      <w:pPr>
        <w:jc w:val="center"/>
        <w:rPr>
          <w:rFonts w:ascii="Garamond" w:hAnsi="Garamond"/>
        </w:rPr>
      </w:pPr>
      <w:r>
        <w:rPr>
          <w:rFonts w:ascii="Garamond" w:hAnsi="Garamond"/>
        </w:rPr>
        <w:t># # #</w:t>
      </w:r>
    </w:p>
    <w:p w:rsidR="002A2426" w:rsidRDefault="002A2426">
      <w:pPr>
        <w:rPr>
          <w:rFonts w:ascii="Garamond" w:hAnsi="Garamond"/>
        </w:rPr>
      </w:pPr>
    </w:p>
    <w:p w:rsidR="002A2426" w:rsidRDefault="002A2426">
      <w:pPr>
        <w:rPr>
          <w:rFonts w:ascii="Garamond" w:hAnsi="Garamond"/>
        </w:rPr>
      </w:pPr>
    </w:p>
    <w:p w:rsidR="002A2426" w:rsidRDefault="002A2426">
      <w:r>
        <w:rPr>
          <w:noProof/>
        </w:rPr>
        <w:pict>
          <v:shapetype id="_x0000_t202" coordsize="21600,21600" o:spt="202" path="m,l,21600r21600,l21600,xe">
            <v:stroke joinstyle="miter"/>
            <v:path gradientshapeok="t" o:connecttype="rect"/>
          </v:shapetype>
          <v:shape id="Text Box 1" o:spid="_x0000_s1026" type="#_x0000_t202" style="position:absolute;margin-left:0;margin-top:17.4pt;width:469.9pt;height:28.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" filled="f" stroked="f">
            <v:textbox inset="0,0,0,0">
              <w:txbxContent>
                <w:p w:rsidR="002A2426" w:rsidRDefault="002A2426">
                  <w:pPr>
                    <w:pStyle w:val="MacPacTrailer"/>
                  </w:pPr>
                  <w:r>
                    <w:t>300178074</w:t>
                  </w:r>
                </w:p>
                <w:p w:rsidR="002A2426" w:rsidRDefault="002A2426">
                  <w:pPr>
                    <w:pStyle w:val="MacPacTrailer"/>
                  </w:pPr>
                </w:p>
                <w:p w:rsidR="002A2426" w:rsidRDefault="002A2426">
                  <w:pPr>
                    <w:pStyle w:val="MacPacTrailer"/>
                  </w:pPr>
                </w:p>
              </w:txbxContent>
            </v:textbox>
            <w10:wrap anchorx="margin"/>
          </v:shape>
        </w:pict>
      </w:r>
    </w:p>
    <w:sectPr w:rsidR="002A2426" w:rsidSect="0054789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426" w:rsidRDefault="002A2426">
      <w:r>
        <w:separator/>
      </w:r>
    </w:p>
  </w:endnote>
  <w:endnote w:type="continuationSeparator" w:id="0">
    <w:p w:rsidR="002A2426" w:rsidRDefault="002A24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Arial Unicode MS"/>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426" w:rsidRDefault="002A2426">
      <w:r>
        <w:separator/>
      </w:r>
    </w:p>
  </w:footnote>
  <w:footnote w:type="continuationSeparator" w:id="0">
    <w:p w:rsidR="002A2426" w:rsidRDefault="002A24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AFE74E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2426"/>
    <w:rsid w:val="002A2426"/>
    <w:rsid w:val="0054789D"/>
  </w:rsids>
  <m:mathPr>
    <m:mathFont m:val="Cambria Math"/>
    <m:brkBin m:val="before"/>
    <m:brkBinSub m:val="--"/>
    <m:smallFrac m:val="off"/>
    <m:dispDef/>
    <m:lMargin m:val="0"/>
    <m:rMargin m:val="0"/>
    <m:defJc m:val="centerGroup"/>
    <m:wrapIndent m:val="1440"/>
    <m:intLim m:val="subSup"/>
    <m:naryLim m:val="undOvr"/>
  </m:mathPr>
  <w:uiCompat97To2003/>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eastAsia="MS Mincho" w:hAnsi="Tahoma" w:cs="Times New Roman"/>
      <w:sz w:val="16"/>
    </w:rPr>
  </w:style>
  <w:style w:type="paragraph" w:styleId="Header">
    <w:name w:val="header"/>
    <w:basedOn w:val="Normal"/>
    <w:link w:val="HeaderChar"/>
    <w:uiPriority w:val="99"/>
    <w:pPr>
      <w:tabs>
        <w:tab w:val="center" w:pos="4680"/>
        <w:tab w:val="right" w:pos="9360"/>
      </w:tabs>
    </w:pPr>
    <w:rPr>
      <w:sz w:val="20"/>
      <w:szCs w:val="20"/>
    </w:rPr>
  </w:style>
  <w:style w:type="character" w:customStyle="1" w:styleId="HeaderChar">
    <w:name w:val="Header Char"/>
    <w:basedOn w:val="DefaultParagraphFont"/>
    <w:link w:val="Header"/>
    <w:uiPriority w:val="99"/>
    <w:locked/>
    <w:rPr>
      <w:rFonts w:ascii="Cambria" w:eastAsia="MS Mincho" w:hAnsi="Cambria" w:cs="Times New Roman"/>
    </w:rPr>
  </w:style>
  <w:style w:type="paragraph" w:styleId="Footer">
    <w:name w:val="footer"/>
    <w:basedOn w:val="Normal"/>
    <w:link w:val="FooterChar"/>
    <w:uiPriority w:val="99"/>
    <w:pPr>
      <w:tabs>
        <w:tab w:val="center" w:pos="4680"/>
        <w:tab w:val="right" w:pos="9360"/>
      </w:tabs>
    </w:pPr>
    <w:rPr>
      <w:sz w:val="20"/>
      <w:szCs w:val="20"/>
    </w:rPr>
  </w:style>
  <w:style w:type="character" w:customStyle="1" w:styleId="FooterChar">
    <w:name w:val="Footer Char"/>
    <w:basedOn w:val="DefaultParagraphFont"/>
    <w:link w:val="Footer"/>
    <w:uiPriority w:val="99"/>
    <w:locked/>
    <w:rPr>
      <w:rFonts w:ascii="Cambria" w:eastAsia="MS Mincho" w:hAnsi="Cambria" w:cs="Times New Roman"/>
    </w:rPr>
  </w:style>
  <w:style w:type="paragraph" w:customStyle="1" w:styleId="MacPacTrailer">
    <w:name w:val="MacPac Trailer"/>
    <w:uiPriority w:val="99"/>
    <w:pPr>
      <w:widowControl w:val="0"/>
      <w:spacing w:line="200" w:lineRule="exact"/>
    </w:pPr>
    <w:rPr>
      <w:rFonts w:ascii="Arial" w:hAnsi="Arial"/>
      <w:sz w:val="16"/>
    </w:rPr>
  </w:style>
  <w:style w:type="character" w:customStyle="1" w:styleId="MediumGrid11">
    <w:name w:val="Medium Grid 11"/>
    <w:uiPriority w:val="99"/>
    <w:semiHidden/>
    <w:rPr>
      <w:color w:val="808080"/>
    </w:rPr>
  </w:style>
  <w:style w:type="character" w:styleId="PlaceholderText">
    <w:name w:val="Placeholder Text"/>
    <w:basedOn w:val="DefaultParagraphFont"/>
    <w:uiPriority w:val="99"/>
    <w:semiHidden/>
    <w:rPr>
      <w:rFonts w:cs="Times New Roman"/>
      <w:color w:val="808080"/>
    </w:rPr>
  </w:style>
  <w:style w:type="character" w:customStyle="1" w:styleId="zzmpTrailerItem">
    <w:name w:val="zzmpTrailerItem"/>
    <w:basedOn w:val="DefaultParagraphFont"/>
    <w:uiPriority w:val="99"/>
    <w:rPr>
      <w:rFonts w:ascii="Cambria" w:hAnsi="Cambria" w:cs="Times New Roman"/>
      <w:noProof/>
      <w:color w:val="auto"/>
      <w:spacing w:val="0"/>
      <w:position w:val="0"/>
      <w:sz w:val="16"/>
      <w:szCs w:val="16"/>
      <w:u w:val="none"/>
      <w:effect w:val="none"/>
      <w:vertAlign w:val="baseline"/>
    </w:rPr>
  </w:style>
</w:styles>
</file>

<file path=word/webSettings.xml><?xml version="1.0" encoding="utf-8"?>
<w:webSettings xmlns:r="http://schemas.openxmlformats.org/officeDocument/2006/relationships" xmlns:w="http://schemas.openxmlformats.org/wordprocessingml/2006/main">
  <w:divs>
    <w:div w:id="1836142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yperlink" Target="http://www.nysb.uscourts.gov" TargetMode="Externa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2</Pages>
  <Words>637</Words>
  <Characters>3824</Characters>
  <Application>Microsoft Office Outlook</Application>
  <DocSecurity>0</DocSecurity>
  <Lines>0</Lines>
  <Paragraphs>0</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